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BEF4" w14:textId="77777777" w:rsidR="00F933E1" w:rsidRDefault="00F933E1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3FF2DD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4C98C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BD4E40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ИНФОРМАЦИЯ</w:t>
      </w:r>
    </w:p>
    <w:p w14:paraId="586FE908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 РЕЗУЛЬТАТАХ КОНТРОЛЬНОГО МЕРОПРИЯТИЯ</w:t>
      </w:r>
    </w:p>
    <w:p w14:paraId="1614C5BB" w14:textId="77777777" w:rsidR="007C1C3D" w:rsidRPr="00A9354F" w:rsidRDefault="007C1C3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1C05EB" w14:textId="77777777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«Внешняя проверка годовой бюджетной отчётности</w:t>
      </w:r>
    </w:p>
    <w:p w14:paraId="1B1BC883" w14:textId="1369F700" w:rsidR="007C1C3D" w:rsidRPr="00A9354F" w:rsidRDefault="004024EE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24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Финансового управления </w:t>
      </w:r>
      <w:r w:rsidR="007C1C3D"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администрации городского округа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7C1C3D"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Архангельской области «Котлас» за 2024 год»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B563967" w14:textId="77777777" w:rsidR="003468AE" w:rsidRPr="00A9354F" w:rsidRDefault="003468AE" w:rsidP="00A9354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CFF05FD" w14:textId="303DD7B9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b/>
          <w:sz w:val="24"/>
          <w:szCs w:val="24"/>
        </w:rPr>
        <w:t>Основание для проведения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 xml:space="preserve">: </w:t>
      </w:r>
      <w:r w:rsidR="007C1C3D" w:rsidRPr="00A9354F">
        <w:rPr>
          <w:rFonts w:ascii="Times New Roman" w:hAnsi="Times New Roman"/>
          <w:sz w:val="24"/>
          <w:szCs w:val="24"/>
        </w:rPr>
        <w:t>ст. 264.4, п. 1 ст. 268.1 Бюджетного кодекса Российской Федерации, п. 3 ч. 2 ст. 9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Федерального закона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07.02.2011 № 6-ФЗ «Об общих принципах организации и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деятельности контрольно-счётных органов субъектов Российской Федерации, федерал</w:t>
      </w:r>
      <w:r w:rsidR="00A9354F" w:rsidRPr="00A9354F">
        <w:rPr>
          <w:rFonts w:ascii="Times New Roman" w:hAnsi="Times New Roman"/>
          <w:sz w:val="24"/>
          <w:szCs w:val="24"/>
        </w:rPr>
        <w:t>ь</w:t>
      </w:r>
      <w:r w:rsidR="007C1C3D" w:rsidRPr="00A9354F">
        <w:rPr>
          <w:rFonts w:ascii="Times New Roman" w:hAnsi="Times New Roman"/>
          <w:sz w:val="24"/>
          <w:szCs w:val="24"/>
        </w:rPr>
        <w:t>ных территорий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муниципальных образований», п. 3 ч. 1 ст. 7 решения Собрания депутатов городского округа «Котлас» от 20.10.2022 № 248-н «О наделении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1C3D" w:rsidRPr="00A9354F">
        <w:rPr>
          <w:rFonts w:ascii="Times New Roman" w:hAnsi="Times New Roman"/>
          <w:sz w:val="24"/>
          <w:szCs w:val="24"/>
        </w:rPr>
        <w:t>палаты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 Архангельской области «Котлас» правами юридического лица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</w:t>
      </w:r>
      <w:r w:rsidR="00A9354F" w:rsidRPr="00A9354F">
        <w:rPr>
          <w:rFonts w:ascii="Times New Roman" w:hAnsi="Times New Roman"/>
          <w:sz w:val="24"/>
          <w:szCs w:val="24"/>
        </w:rPr>
        <w:t>о</w:t>
      </w:r>
      <w:r w:rsidR="007C1C3D" w:rsidRPr="00A9354F">
        <w:rPr>
          <w:rFonts w:ascii="Times New Roman" w:hAnsi="Times New Roman"/>
          <w:sz w:val="24"/>
          <w:szCs w:val="24"/>
        </w:rPr>
        <w:t>тлас»</w:t>
      </w:r>
      <w:r w:rsidR="007C1C3D" w:rsidRPr="00A9354F">
        <w:rPr>
          <w:rFonts w:ascii="Times New Roman" w:hAnsi="Times New Roman"/>
          <w:sz w:val="24"/>
          <w:szCs w:val="24"/>
        </w:rPr>
        <w:br/>
        <w:t>от 18.06.2020 № 108-н «О бюджетном процессе в городском округе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Архангельской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области «Котлас», п. 1.1,2.14 Плана деятельности  Контрольно-счётной палаты городского округа «Котлас» на 2025 год, утвержденного распоряжением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 от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28.12.2024 № 10,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распоряжение Председателя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14.01.2025 г. № 1 «О проведении внешней проверки годового отчета об исполнении бюджета городского округа «Котлас» за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 xml:space="preserve">2024 год в </w:t>
      </w:r>
      <w:r w:rsidR="004024EE">
        <w:rPr>
          <w:rFonts w:ascii="Times New Roman" w:hAnsi="Times New Roman"/>
          <w:sz w:val="24"/>
          <w:szCs w:val="24"/>
        </w:rPr>
        <w:t>Финансовом управлении</w:t>
      </w:r>
      <w:r w:rsidR="004024EE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578605C2" w14:textId="1BE2A98C" w:rsidR="009B3E9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Объект</w:t>
      </w:r>
      <w:bookmarkStart w:id="0" w:name="_GoBack"/>
      <w:bookmarkEnd w:id="0"/>
      <w:r w:rsidRPr="00A9354F">
        <w:rPr>
          <w:rFonts w:ascii="Times New Roman" w:hAnsi="Times New Roman"/>
          <w:b/>
          <w:sz w:val="24"/>
          <w:szCs w:val="24"/>
        </w:rPr>
        <w:t xml:space="preserve">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>:</w:t>
      </w:r>
      <w:r w:rsidR="00631E16" w:rsidRPr="00A9354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024E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Финансовое управление </w:t>
      </w:r>
      <w:r w:rsidR="00984BD0" w:rsidRPr="00984BD0">
        <w:rPr>
          <w:rFonts w:ascii="Times New Roman" w:hAnsi="Times New Roman"/>
          <w:bCs/>
          <w:sz w:val="24"/>
          <w:szCs w:val="24"/>
        </w:rPr>
        <w:t>администрации городского округа Архангельской области «Котлас»</w:t>
      </w:r>
      <w:r w:rsidR="007C1C3D" w:rsidRPr="00A9354F">
        <w:rPr>
          <w:rFonts w:ascii="Times New Roman" w:hAnsi="Times New Roman"/>
          <w:sz w:val="24"/>
          <w:szCs w:val="24"/>
        </w:rPr>
        <w:t>.</w:t>
      </w:r>
    </w:p>
    <w:p w14:paraId="1A1C79A2" w14:textId="2C797B7E" w:rsidR="002C1E52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 xml:space="preserve">Проверяемый период деятельности: </w:t>
      </w:r>
      <w:r w:rsidR="007C1C3D" w:rsidRPr="00A9354F">
        <w:rPr>
          <w:rFonts w:ascii="Times New Roman" w:hAnsi="Times New Roman"/>
          <w:bCs/>
          <w:sz w:val="24"/>
          <w:szCs w:val="24"/>
          <w:lang w:bidi="ru-RU"/>
        </w:rPr>
        <w:t>с 01.01.2024 по 31.12.2024</w:t>
      </w:r>
      <w:r w:rsidR="00334151" w:rsidRPr="00A9354F">
        <w:rPr>
          <w:rFonts w:ascii="Times New Roman" w:hAnsi="Times New Roman"/>
          <w:bCs/>
          <w:sz w:val="24"/>
          <w:szCs w:val="24"/>
          <w:lang w:bidi="ru-RU"/>
        </w:rPr>
        <w:t>.</w:t>
      </w:r>
    </w:p>
    <w:p w14:paraId="58B2EC33" w14:textId="2835D201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Срок проведения контрольного мероприятия:</w:t>
      </w:r>
      <w:r w:rsidRP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bCs/>
          <w:sz w:val="24"/>
          <w:szCs w:val="24"/>
        </w:rPr>
        <w:t xml:space="preserve">с 08.04.2025 по </w:t>
      </w:r>
      <w:r w:rsidR="004024EE">
        <w:rPr>
          <w:rFonts w:ascii="Times New Roman" w:hAnsi="Times New Roman"/>
          <w:bCs/>
          <w:sz w:val="24"/>
          <w:szCs w:val="24"/>
        </w:rPr>
        <w:t>30</w:t>
      </w:r>
      <w:r w:rsidR="007C1C3D" w:rsidRPr="00A9354F">
        <w:rPr>
          <w:rFonts w:ascii="Times New Roman" w:hAnsi="Times New Roman"/>
          <w:bCs/>
          <w:sz w:val="24"/>
          <w:szCs w:val="24"/>
        </w:rPr>
        <w:t>.0</w:t>
      </w:r>
      <w:r w:rsidR="004024EE">
        <w:rPr>
          <w:rFonts w:ascii="Times New Roman" w:hAnsi="Times New Roman"/>
          <w:bCs/>
          <w:sz w:val="24"/>
          <w:szCs w:val="24"/>
        </w:rPr>
        <w:t>5</w:t>
      </w:r>
      <w:r w:rsidR="007C1C3D" w:rsidRPr="00A9354F">
        <w:rPr>
          <w:rFonts w:ascii="Times New Roman" w:hAnsi="Times New Roman"/>
          <w:bCs/>
          <w:sz w:val="24"/>
          <w:szCs w:val="24"/>
        </w:rPr>
        <w:t>.2025.</w:t>
      </w:r>
    </w:p>
    <w:p w14:paraId="4E17B065" w14:textId="77777777" w:rsidR="003468A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Нарушения и недостатки, выявленные контрольным мероприятием.</w:t>
      </w:r>
    </w:p>
    <w:p w14:paraId="15B2120B" w14:textId="230AEF9C" w:rsidR="004024EE" w:rsidRPr="00A9354F" w:rsidRDefault="007C1C3D" w:rsidP="00402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sz w:val="24"/>
          <w:szCs w:val="24"/>
        </w:rPr>
        <w:t>По результатам контрольного мероприятия установлено, что состав и формы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бюджетной отчетности </w:t>
      </w:r>
      <w:r w:rsidR="004024EE">
        <w:rPr>
          <w:rFonts w:ascii="Times New Roman" w:hAnsi="Times New Roman"/>
          <w:sz w:val="24"/>
          <w:szCs w:val="24"/>
        </w:rPr>
        <w:t>Финансового у</w:t>
      </w:r>
      <w:r w:rsidRPr="00A9354F">
        <w:rPr>
          <w:rFonts w:ascii="Times New Roman" w:hAnsi="Times New Roman"/>
          <w:sz w:val="24"/>
          <w:szCs w:val="24"/>
        </w:rPr>
        <w:t>правления</w:t>
      </w:r>
      <w:r w:rsidR="004024EE">
        <w:rPr>
          <w:rFonts w:ascii="Times New Roman" w:hAnsi="Times New Roman"/>
          <w:sz w:val="24"/>
          <w:szCs w:val="24"/>
        </w:rPr>
        <w:t xml:space="preserve"> </w:t>
      </w:r>
      <w:r w:rsidR="00A9354F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4024EE">
        <w:rPr>
          <w:rFonts w:ascii="Times New Roman" w:hAnsi="Times New Roman"/>
          <w:sz w:val="24"/>
          <w:szCs w:val="24"/>
        </w:rPr>
        <w:br/>
      </w:r>
      <w:r w:rsidR="00A9354F" w:rsidRPr="00A9354F">
        <w:rPr>
          <w:rFonts w:ascii="Times New Roman" w:hAnsi="Times New Roman"/>
          <w:sz w:val="24"/>
          <w:szCs w:val="24"/>
        </w:rPr>
        <w:t>Архангельской области «Котлас»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соответствуют составу и формам отчетов,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утвержденным подпунктом 11.1. пункта 11 </w:t>
      </w:r>
      <w:r w:rsidR="0073615F">
        <w:rPr>
          <w:rFonts w:ascii="Times New Roman" w:hAnsi="Times New Roman"/>
          <w:sz w:val="24"/>
          <w:szCs w:val="24"/>
        </w:rPr>
        <w:t>п</w:t>
      </w:r>
      <w:r w:rsidR="00A9354F">
        <w:rPr>
          <w:rFonts w:ascii="Times New Roman" w:eastAsiaTheme="minorHAnsi" w:hAnsi="Times New Roman"/>
          <w:sz w:val="24"/>
          <w:szCs w:val="24"/>
        </w:rPr>
        <w:t>риказ</w:t>
      </w:r>
      <w:r w:rsidR="0073615F">
        <w:rPr>
          <w:rFonts w:ascii="Times New Roman" w:eastAsiaTheme="minorHAnsi" w:hAnsi="Times New Roman"/>
          <w:sz w:val="24"/>
          <w:szCs w:val="24"/>
        </w:rPr>
        <w:t>а</w:t>
      </w:r>
      <w:r w:rsidR="00A9354F">
        <w:rPr>
          <w:rFonts w:ascii="Times New Roman" w:eastAsiaTheme="minorHAnsi" w:hAnsi="Times New Roman"/>
          <w:sz w:val="24"/>
          <w:szCs w:val="24"/>
        </w:rPr>
        <w:t xml:space="preserve"> Минфина России от 28.12.2010</w:t>
      </w:r>
      <w:r w:rsidR="0073615F">
        <w:rPr>
          <w:rFonts w:ascii="Times New Roman" w:eastAsiaTheme="minorHAnsi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>№ 191н</w:t>
      </w:r>
      <w:r w:rsidR="00A9354F">
        <w:rPr>
          <w:rFonts w:ascii="Times New Roman" w:hAnsi="Times New Roman"/>
          <w:sz w:val="24"/>
          <w:szCs w:val="24"/>
        </w:rPr>
        <w:t xml:space="preserve"> «</w:t>
      </w:r>
      <w:r w:rsidR="00A9354F">
        <w:rPr>
          <w:rFonts w:ascii="Times New Roman" w:eastAsiaTheme="minorHAnsi" w:hAnsi="Times New Roman"/>
          <w:sz w:val="24"/>
          <w:szCs w:val="24"/>
        </w:rPr>
        <w:t>Об утверждении Инструкции о порядке составления и представления годовой,</w:t>
      </w:r>
      <w:r w:rsidR="00A9354F">
        <w:rPr>
          <w:rFonts w:ascii="Times New Roman" w:eastAsiaTheme="minorHAnsi" w:hAnsi="Times New Roman"/>
          <w:sz w:val="24"/>
          <w:szCs w:val="24"/>
        </w:rPr>
        <w:br/>
        <w:t>квартальной и месячной отчетности об исполнении бюджетов бюджетной системы</w:t>
      </w:r>
      <w:r w:rsidR="00A9354F">
        <w:rPr>
          <w:rFonts w:ascii="Times New Roman" w:eastAsiaTheme="minorHAnsi" w:hAnsi="Times New Roman"/>
          <w:sz w:val="24"/>
          <w:szCs w:val="24"/>
        </w:rPr>
        <w:br/>
        <w:t>Российской Федерации»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(далее – Инструкция № 191н)</w:t>
      </w:r>
      <w:r w:rsidR="0073615F">
        <w:rPr>
          <w:rFonts w:ascii="Times New Roman" w:eastAsiaTheme="minorHAnsi" w:hAnsi="Times New Roman"/>
          <w:sz w:val="24"/>
          <w:szCs w:val="24"/>
        </w:rPr>
        <w:t>.</w:t>
      </w:r>
      <w:proofErr w:type="gramEnd"/>
      <w:r w:rsidR="0073615F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Вместе с тем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>,</w:t>
      </w:r>
      <w:r w:rsidRPr="004453F7">
        <w:rPr>
          <w:rFonts w:ascii="Times New Roman" w:eastAsiaTheme="minorHAnsi" w:hAnsi="Times New Roman"/>
          <w:sz w:val="24"/>
          <w:szCs w:val="24"/>
        </w:rPr>
        <w:t xml:space="preserve"> выявлены</w:t>
      </w:r>
      <w:r w:rsidR="004453F7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нарушения при формировании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Пояснительной записки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 xml:space="preserve"> (ф. 0503160)</w:t>
      </w:r>
      <w:r w:rsidR="004453F7">
        <w:rPr>
          <w:rFonts w:ascii="Times New Roman" w:eastAsiaTheme="minorHAnsi" w:hAnsi="Times New Roman"/>
          <w:sz w:val="24"/>
          <w:szCs w:val="24"/>
        </w:rPr>
        <w:t>.</w:t>
      </w:r>
      <w:r w:rsidR="004453F7" w:rsidRPr="004453F7">
        <w:rPr>
          <w:rFonts w:ascii="Times New Roman" w:eastAsiaTheme="minorHAnsi" w:hAnsi="Times New Roman"/>
          <w:sz w:val="24"/>
          <w:szCs w:val="24"/>
        </w:rPr>
        <w:t xml:space="preserve"> Установлено </w:t>
      </w:r>
      <w:r w:rsidR="004453F7">
        <w:rPr>
          <w:rFonts w:ascii="Times New Roman" w:eastAsiaTheme="minorHAnsi" w:hAnsi="Times New Roman"/>
          <w:sz w:val="24"/>
          <w:szCs w:val="24"/>
        </w:rPr>
        <w:t>2</w:t>
      </w:r>
      <w:r w:rsidR="004453F7">
        <w:rPr>
          <w:rFonts w:ascii="Times New Roman" w:eastAsiaTheme="minorHAnsi" w:hAnsi="Times New Roman"/>
          <w:sz w:val="24"/>
          <w:szCs w:val="24"/>
        </w:rPr>
        <w:br/>
      </w:r>
      <w:r w:rsidR="004453F7" w:rsidRPr="004453F7">
        <w:rPr>
          <w:rFonts w:ascii="Times New Roman" w:eastAsiaTheme="minorHAnsi" w:hAnsi="Times New Roman"/>
          <w:sz w:val="24"/>
          <w:szCs w:val="24"/>
        </w:rPr>
        <w:t>нарушения п. 152 Инструкции № 191н</w:t>
      </w:r>
      <w:r w:rsidRPr="004453F7">
        <w:rPr>
          <w:rFonts w:ascii="Times New Roman" w:eastAsiaTheme="minorHAnsi" w:hAnsi="Times New Roman"/>
          <w:sz w:val="24"/>
          <w:szCs w:val="24"/>
        </w:rPr>
        <w:t>,</w:t>
      </w:r>
      <w:r w:rsidR="004024EE">
        <w:rPr>
          <w:rFonts w:ascii="Times New Roman" w:eastAsiaTheme="minorHAnsi" w:hAnsi="Times New Roman"/>
          <w:sz w:val="24"/>
          <w:szCs w:val="24"/>
        </w:rPr>
        <w:t xml:space="preserve"> п.</w:t>
      </w:r>
      <w:r w:rsidR="004024EE" w:rsidRPr="004024EE">
        <w:rPr>
          <w:rFonts w:ascii="Times New Roman" w:eastAsiaTheme="minorHAnsi" w:hAnsi="Times New Roman"/>
          <w:sz w:val="24"/>
          <w:szCs w:val="24"/>
        </w:rPr>
        <w:t xml:space="preserve"> 37 </w:t>
      </w:r>
      <w:r w:rsidR="004024EE">
        <w:rPr>
          <w:rFonts w:ascii="Times New Roman" w:eastAsiaTheme="minorHAnsi" w:hAnsi="Times New Roman"/>
          <w:sz w:val="24"/>
          <w:szCs w:val="24"/>
        </w:rPr>
        <w:t>п</w:t>
      </w:r>
      <w:r w:rsidR="004024EE" w:rsidRPr="004024EE">
        <w:rPr>
          <w:rFonts w:ascii="Times New Roman" w:eastAsiaTheme="minorHAnsi" w:hAnsi="Times New Roman"/>
          <w:sz w:val="24"/>
          <w:szCs w:val="24"/>
        </w:rPr>
        <w:t>риказа Минфина России</w:t>
      </w:r>
      <w:r w:rsidR="004024EE">
        <w:rPr>
          <w:rFonts w:ascii="Times New Roman" w:eastAsiaTheme="minorHAnsi" w:hAnsi="Times New Roman"/>
          <w:sz w:val="24"/>
          <w:szCs w:val="24"/>
        </w:rPr>
        <w:br/>
      </w:r>
      <w:r w:rsidR="004024EE" w:rsidRPr="004024EE">
        <w:rPr>
          <w:rFonts w:ascii="Times New Roman" w:eastAsiaTheme="minorHAnsi" w:hAnsi="Times New Roman"/>
          <w:sz w:val="24"/>
          <w:szCs w:val="24"/>
        </w:rPr>
        <w:t>от 31.12.2016 № 260н «Об утверждении федерального стандарта бухгалтерского учета для организаций государственного сектора «Представление бухгалтерской (финансовой)</w:t>
      </w:r>
      <w:r w:rsidR="004024EE">
        <w:rPr>
          <w:rFonts w:ascii="Times New Roman" w:eastAsiaTheme="minorHAnsi" w:hAnsi="Times New Roman"/>
          <w:sz w:val="24"/>
          <w:szCs w:val="24"/>
        </w:rPr>
        <w:br/>
      </w:r>
      <w:r w:rsidR="004024EE" w:rsidRPr="004024EE">
        <w:rPr>
          <w:rFonts w:ascii="Times New Roman" w:eastAsiaTheme="minorHAnsi" w:hAnsi="Times New Roman"/>
          <w:sz w:val="24"/>
          <w:szCs w:val="24"/>
        </w:rPr>
        <w:t>отчетности»</w:t>
      </w:r>
      <w:r w:rsidR="004024EE">
        <w:rPr>
          <w:rFonts w:ascii="Times New Roman" w:eastAsiaTheme="minorHAnsi" w:hAnsi="Times New Roman"/>
          <w:sz w:val="24"/>
          <w:szCs w:val="24"/>
        </w:rPr>
        <w:t xml:space="preserve">, </w:t>
      </w:r>
      <w:r w:rsidR="004024EE" w:rsidRPr="004453F7">
        <w:rPr>
          <w:rFonts w:ascii="Times New Roman" w:eastAsiaTheme="minorHAnsi" w:hAnsi="Times New Roman"/>
          <w:sz w:val="24"/>
          <w:szCs w:val="24"/>
        </w:rPr>
        <w:t>не оказавшие существенного влияния на</w:t>
      </w:r>
      <w:r w:rsidR="004024EE">
        <w:rPr>
          <w:rFonts w:ascii="Times New Roman" w:eastAsiaTheme="minorHAnsi" w:hAnsi="Times New Roman"/>
          <w:sz w:val="24"/>
          <w:szCs w:val="24"/>
        </w:rPr>
        <w:t xml:space="preserve"> </w:t>
      </w:r>
      <w:r w:rsidR="004024EE" w:rsidRPr="004453F7">
        <w:rPr>
          <w:rFonts w:ascii="Times New Roman" w:eastAsiaTheme="minorHAnsi" w:hAnsi="Times New Roman"/>
          <w:sz w:val="24"/>
          <w:szCs w:val="24"/>
        </w:rPr>
        <w:t>достоверность данных годовой</w:t>
      </w:r>
      <w:r w:rsidR="004024EE">
        <w:rPr>
          <w:rFonts w:ascii="Times New Roman" w:eastAsiaTheme="minorHAnsi" w:hAnsi="Times New Roman"/>
          <w:sz w:val="24"/>
          <w:szCs w:val="24"/>
        </w:rPr>
        <w:br/>
      </w:r>
      <w:r w:rsidR="004024EE" w:rsidRPr="004453F7">
        <w:rPr>
          <w:rFonts w:ascii="Times New Roman" w:eastAsiaTheme="minorHAnsi" w:hAnsi="Times New Roman"/>
          <w:sz w:val="24"/>
          <w:szCs w:val="24"/>
        </w:rPr>
        <w:t>бюджетной</w:t>
      </w:r>
      <w:r w:rsidR="004024EE" w:rsidRPr="00A9354F">
        <w:rPr>
          <w:rFonts w:ascii="Times New Roman" w:hAnsi="Times New Roman"/>
          <w:sz w:val="24"/>
          <w:szCs w:val="24"/>
        </w:rPr>
        <w:t xml:space="preserve"> отчетности</w:t>
      </w:r>
      <w:r w:rsidR="004024EE">
        <w:rPr>
          <w:rFonts w:ascii="Times New Roman" w:hAnsi="Times New Roman"/>
          <w:sz w:val="24"/>
          <w:szCs w:val="24"/>
        </w:rPr>
        <w:t>.</w:t>
      </w:r>
    </w:p>
    <w:p w14:paraId="055DB25F" w14:textId="0CEDB128" w:rsidR="009947ED" w:rsidRPr="009947ED" w:rsidRDefault="009947ED" w:rsidP="00402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76908994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3105F1C1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A94A65A" w14:textId="2EBBF321" w:rsidR="00CA3CE2" w:rsidRPr="00A9354F" w:rsidRDefault="00CA3CE2" w:rsidP="00A9354F">
      <w:pPr>
        <w:jc w:val="both"/>
        <w:rPr>
          <w:rFonts w:ascii="Times New Roman" w:hAnsi="Times New Roman"/>
          <w:sz w:val="24"/>
          <w:szCs w:val="24"/>
        </w:rPr>
      </w:pPr>
    </w:p>
    <w:sectPr w:rsidR="00CA3CE2" w:rsidRPr="00A9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D6579" w14:textId="77777777" w:rsidR="0073615F" w:rsidRDefault="0073615F" w:rsidP="00FB5A78">
      <w:pPr>
        <w:spacing w:after="0" w:line="240" w:lineRule="auto"/>
      </w:pPr>
      <w:r>
        <w:separator/>
      </w:r>
    </w:p>
  </w:endnote>
  <w:endnote w:type="continuationSeparator" w:id="0">
    <w:p w14:paraId="61E32143" w14:textId="77777777" w:rsidR="0073615F" w:rsidRDefault="0073615F" w:rsidP="00FB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B5A4D" w14:textId="77777777" w:rsidR="0073615F" w:rsidRDefault="0073615F" w:rsidP="00FB5A78">
      <w:pPr>
        <w:spacing w:after="0" w:line="240" w:lineRule="auto"/>
      </w:pPr>
      <w:r>
        <w:separator/>
      </w:r>
    </w:p>
  </w:footnote>
  <w:footnote w:type="continuationSeparator" w:id="0">
    <w:p w14:paraId="01E0E1A8" w14:textId="77777777" w:rsidR="0073615F" w:rsidRDefault="0073615F" w:rsidP="00FB5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055"/>
    <w:multiLevelType w:val="hybridMultilevel"/>
    <w:tmpl w:val="CD500D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EB3A4D"/>
    <w:multiLevelType w:val="hybridMultilevel"/>
    <w:tmpl w:val="2DCC48E4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C49FF"/>
    <w:multiLevelType w:val="hybridMultilevel"/>
    <w:tmpl w:val="3A869A34"/>
    <w:lvl w:ilvl="0" w:tplc="77E864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322B1"/>
    <w:multiLevelType w:val="hybridMultilevel"/>
    <w:tmpl w:val="2A241996"/>
    <w:lvl w:ilvl="0" w:tplc="7E34F2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93144F7"/>
    <w:multiLevelType w:val="hybridMultilevel"/>
    <w:tmpl w:val="D908974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95429"/>
    <w:multiLevelType w:val="hybridMultilevel"/>
    <w:tmpl w:val="BD5AB21A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0276D"/>
    <w:multiLevelType w:val="hybridMultilevel"/>
    <w:tmpl w:val="8DC2CE28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7082F"/>
    <w:multiLevelType w:val="hybridMultilevel"/>
    <w:tmpl w:val="5CB8861C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B292EF3"/>
    <w:multiLevelType w:val="hybridMultilevel"/>
    <w:tmpl w:val="D5D8439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FB471D8"/>
    <w:multiLevelType w:val="hybridMultilevel"/>
    <w:tmpl w:val="77240DB2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963D79"/>
    <w:multiLevelType w:val="hybridMultilevel"/>
    <w:tmpl w:val="1E34F6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A5B10"/>
    <w:multiLevelType w:val="hybridMultilevel"/>
    <w:tmpl w:val="C69CF7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635951"/>
    <w:multiLevelType w:val="hybridMultilevel"/>
    <w:tmpl w:val="B0E486C8"/>
    <w:lvl w:ilvl="0" w:tplc="2B220D36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AB5F61"/>
    <w:multiLevelType w:val="hybridMultilevel"/>
    <w:tmpl w:val="953C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1C183C"/>
    <w:multiLevelType w:val="hybridMultilevel"/>
    <w:tmpl w:val="9D4AB23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D83336E"/>
    <w:multiLevelType w:val="hybridMultilevel"/>
    <w:tmpl w:val="9D8ED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656A7"/>
    <w:multiLevelType w:val="hybridMultilevel"/>
    <w:tmpl w:val="F3FEF3A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3E3809"/>
    <w:multiLevelType w:val="hybridMultilevel"/>
    <w:tmpl w:val="A74EEF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75253B"/>
    <w:multiLevelType w:val="hybridMultilevel"/>
    <w:tmpl w:val="8F60D02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60CAA"/>
    <w:multiLevelType w:val="hybridMultilevel"/>
    <w:tmpl w:val="1D0A538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E93286"/>
    <w:multiLevelType w:val="hybridMultilevel"/>
    <w:tmpl w:val="C95C7754"/>
    <w:lvl w:ilvl="0" w:tplc="7E34F2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660162E"/>
    <w:multiLevelType w:val="hybridMultilevel"/>
    <w:tmpl w:val="27AAF9D0"/>
    <w:lvl w:ilvl="0" w:tplc="CA8C0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6215D"/>
    <w:multiLevelType w:val="hybridMultilevel"/>
    <w:tmpl w:val="0F06B972"/>
    <w:lvl w:ilvl="0" w:tplc="DEA03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3B41C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4">
    <w:nsid w:val="48DD1965"/>
    <w:multiLevelType w:val="hybridMultilevel"/>
    <w:tmpl w:val="650CF52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65470A"/>
    <w:multiLevelType w:val="hybridMultilevel"/>
    <w:tmpl w:val="0748BB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C4ED6"/>
    <w:multiLevelType w:val="hybridMultilevel"/>
    <w:tmpl w:val="4150F08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BBB05CA"/>
    <w:multiLevelType w:val="hybridMultilevel"/>
    <w:tmpl w:val="B18490E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646532"/>
    <w:multiLevelType w:val="hybridMultilevel"/>
    <w:tmpl w:val="13B216FE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33761"/>
    <w:multiLevelType w:val="hybridMultilevel"/>
    <w:tmpl w:val="641C0E2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A925CC6"/>
    <w:multiLevelType w:val="hybridMultilevel"/>
    <w:tmpl w:val="C0E0001E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C5F6514"/>
    <w:multiLevelType w:val="hybridMultilevel"/>
    <w:tmpl w:val="0D04A80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B6067D"/>
    <w:multiLevelType w:val="hybridMultilevel"/>
    <w:tmpl w:val="36104A92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B61758"/>
    <w:multiLevelType w:val="hybridMultilevel"/>
    <w:tmpl w:val="6DB052CE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9440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>
    <w:nsid w:val="6CEF6C7B"/>
    <w:multiLevelType w:val="hybridMultilevel"/>
    <w:tmpl w:val="E59E82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DA22A20"/>
    <w:multiLevelType w:val="hybridMultilevel"/>
    <w:tmpl w:val="765AF83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E2831"/>
    <w:multiLevelType w:val="hybridMultilevel"/>
    <w:tmpl w:val="DD78CFE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992505"/>
    <w:multiLevelType w:val="hybridMultilevel"/>
    <w:tmpl w:val="EDB4D3C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90A95"/>
    <w:multiLevelType w:val="hybridMultilevel"/>
    <w:tmpl w:val="5ADAB01C"/>
    <w:lvl w:ilvl="0" w:tplc="E06077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F6A4B46"/>
    <w:multiLevelType w:val="hybridMultilevel"/>
    <w:tmpl w:val="029C58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34"/>
  </w:num>
  <w:num w:numId="5">
    <w:abstractNumId w:val="37"/>
  </w:num>
  <w:num w:numId="6">
    <w:abstractNumId w:val="24"/>
  </w:num>
  <w:num w:numId="7">
    <w:abstractNumId w:val="17"/>
  </w:num>
  <w:num w:numId="8">
    <w:abstractNumId w:val="31"/>
  </w:num>
  <w:num w:numId="9">
    <w:abstractNumId w:val="25"/>
  </w:num>
  <w:num w:numId="10">
    <w:abstractNumId w:val="1"/>
  </w:num>
  <w:num w:numId="11">
    <w:abstractNumId w:val="10"/>
  </w:num>
  <w:num w:numId="12">
    <w:abstractNumId w:val="28"/>
  </w:num>
  <w:num w:numId="13">
    <w:abstractNumId w:val="22"/>
  </w:num>
  <w:num w:numId="14">
    <w:abstractNumId w:val="18"/>
  </w:num>
  <w:num w:numId="15">
    <w:abstractNumId w:val="35"/>
  </w:num>
  <w:num w:numId="16">
    <w:abstractNumId w:val="16"/>
  </w:num>
  <w:num w:numId="17">
    <w:abstractNumId w:val="29"/>
  </w:num>
  <w:num w:numId="18">
    <w:abstractNumId w:val="6"/>
  </w:num>
  <w:num w:numId="19">
    <w:abstractNumId w:val="39"/>
  </w:num>
  <w:num w:numId="20">
    <w:abstractNumId w:val="32"/>
  </w:num>
  <w:num w:numId="21">
    <w:abstractNumId w:val="11"/>
  </w:num>
  <w:num w:numId="22">
    <w:abstractNumId w:val="36"/>
  </w:num>
  <w:num w:numId="23">
    <w:abstractNumId w:val="30"/>
  </w:num>
  <w:num w:numId="24">
    <w:abstractNumId w:val="14"/>
  </w:num>
  <w:num w:numId="25">
    <w:abstractNumId w:val="8"/>
  </w:num>
  <w:num w:numId="26">
    <w:abstractNumId w:val="38"/>
  </w:num>
  <w:num w:numId="27">
    <w:abstractNumId w:val="26"/>
  </w:num>
  <w:num w:numId="28">
    <w:abstractNumId w:val="27"/>
  </w:num>
  <w:num w:numId="29">
    <w:abstractNumId w:val="0"/>
  </w:num>
  <w:num w:numId="30">
    <w:abstractNumId w:val="19"/>
  </w:num>
  <w:num w:numId="31">
    <w:abstractNumId w:val="4"/>
  </w:num>
  <w:num w:numId="32">
    <w:abstractNumId w:val="40"/>
  </w:num>
  <w:num w:numId="33">
    <w:abstractNumId w:val="15"/>
  </w:num>
  <w:num w:numId="34">
    <w:abstractNumId w:val="13"/>
  </w:num>
  <w:num w:numId="35">
    <w:abstractNumId w:val="2"/>
  </w:num>
  <w:num w:numId="36">
    <w:abstractNumId w:val="33"/>
  </w:num>
  <w:num w:numId="37">
    <w:abstractNumId w:val="5"/>
  </w:num>
  <w:num w:numId="38">
    <w:abstractNumId w:val="21"/>
  </w:num>
  <w:num w:numId="39">
    <w:abstractNumId w:val="9"/>
  </w:num>
  <w:num w:numId="40">
    <w:abstractNumId w:val="7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8AE"/>
    <w:rsid w:val="00004025"/>
    <w:rsid w:val="000152D3"/>
    <w:rsid w:val="000522EC"/>
    <w:rsid w:val="000941B7"/>
    <w:rsid w:val="000A7E30"/>
    <w:rsid w:val="000D5434"/>
    <w:rsid w:val="00135A0D"/>
    <w:rsid w:val="0017225A"/>
    <w:rsid w:val="001772C4"/>
    <w:rsid w:val="001A0734"/>
    <w:rsid w:val="001B0E43"/>
    <w:rsid w:val="001E528F"/>
    <w:rsid w:val="0022149D"/>
    <w:rsid w:val="00231670"/>
    <w:rsid w:val="00274FDC"/>
    <w:rsid w:val="00286154"/>
    <w:rsid w:val="002B38D0"/>
    <w:rsid w:val="002C1E52"/>
    <w:rsid w:val="002D52DD"/>
    <w:rsid w:val="002F6266"/>
    <w:rsid w:val="002F74D6"/>
    <w:rsid w:val="002F7B90"/>
    <w:rsid w:val="00302F7F"/>
    <w:rsid w:val="0033175B"/>
    <w:rsid w:val="00334151"/>
    <w:rsid w:val="003468AE"/>
    <w:rsid w:val="00354E12"/>
    <w:rsid w:val="003632A6"/>
    <w:rsid w:val="00373B98"/>
    <w:rsid w:val="00385906"/>
    <w:rsid w:val="003C0E39"/>
    <w:rsid w:val="003C7A19"/>
    <w:rsid w:val="004024EE"/>
    <w:rsid w:val="00415EBF"/>
    <w:rsid w:val="004453F7"/>
    <w:rsid w:val="004675E2"/>
    <w:rsid w:val="004678F9"/>
    <w:rsid w:val="0047567C"/>
    <w:rsid w:val="004B1205"/>
    <w:rsid w:val="00511490"/>
    <w:rsid w:val="00512B4B"/>
    <w:rsid w:val="00516366"/>
    <w:rsid w:val="005350E5"/>
    <w:rsid w:val="00546F22"/>
    <w:rsid w:val="005A300B"/>
    <w:rsid w:val="005F1AD5"/>
    <w:rsid w:val="005F62ED"/>
    <w:rsid w:val="00605D9A"/>
    <w:rsid w:val="00613524"/>
    <w:rsid w:val="006144F8"/>
    <w:rsid w:val="00625BAA"/>
    <w:rsid w:val="00631BFB"/>
    <w:rsid w:val="00631E16"/>
    <w:rsid w:val="00660988"/>
    <w:rsid w:val="006657D1"/>
    <w:rsid w:val="00695834"/>
    <w:rsid w:val="00696F7D"/>
    <w:rsid w:val="006D4EA5"/>
    <w:rsid w:val="006E6FC0"/>
    <w:rsid w:val="00707657"/>
    <w:rsid w:val="00734F7A"/>
    <w:rsid w:val="0073615F"/>
    <w:rsid w:val="00742B7A"/>
    <w:rsid w:val="00766468"/>
    <w:rsid w:val="00771AB9"/>
    <w:rsid w:val="0077710B"/>
    <w:rsid w:val="007C1C3D"/>
    <w:rsid w:val="007F411D"/>
    <w:rsid w:val="00830AD7"/>
    <w:rsid w:val="00831D6B"/>
    <w:rsid w:val="00857E12"/>
    <w:rsid w:val="00880D42"/>
    <w:rsid w:val="00886A18"/>
    <w:rsid w:val="008B4E9C"/>
    <w:rsid w:val="008B614E"/>
    <w:rsid w:val="008B624E"/>
    <w:rsid w:val="008D40B9"/>
    <w:rsid w:val="008E19E2"/>
    <w:rsid w:val="008E1BF3"/>
    <w:rsid w:val="008E6122"/>
    <w:rsid w:val="00937234"/>
    <w:rsid w:val="00951DF1"/>
    <w:rsid w:val="00965D62"/>
    <w:rsid w:val="00974436"/>
    <w:rsid w:val="00984BD0"/>
    <w:rsid w:val="009947ED"/>
    <w:rsid w:val="009B3E9E"/>
    <w:rsid w:val="009B7DA7"/>
    <w:rsid w:val="009D4661"/>
    <w:rsid w:val="009F2E20"/>
    <w:rsid w:val="009F6FB4"/>
    <w:rsid w:val="00A065F6"/>
    <w:rsid w:val="00A12A07"/>
    <w:rsid w:val="00A26A63"/>
    <w:rsid w:val="00A34F13"/>
    <w:rsid w:val="00A44A65"/>
    <w:rsid w:val="00A7249B"/>
    <w:rsid w:val="00A9354F"/>
    <w:rsid w:val="00AA0B33"/>
    <w:rsid w:val="00AD0919"/>
    <w:rsid w:val="00AE026F"/>
    <w:rsid w:val="00B020CA"/>
    <w:rsid w:val="00B23E20"/>
    <w:rsid w:val="00B43AE0"/>
    <w:rsid w:val="00B6153D"/>
    <w:rsid w:val="00B832D1"/>
    <w:rsid w:val="00B860AD"/>
    <w:rsid w:val="00B9757F"/>
    <w:rsid w:val="00BB30FA"/>
    <w:rsid w:val="00BD6927"/>
    <w:rsid w:val="00C019DF"/>
    <w:rsid w:val="00C01B57"/>
    <w:rsid w:val="00C223D1"/>
    <w:rsid w:val="00C23E2C"/>
    <w:rsid w:val="00C4251D"/>
    <w:rsid w:val="00C63610"/>
    <w:rsid w:val="00C715CA"/>
    <w:rsid w:val="00C85EE4"/>
    <w:rsid w:val="00C94881"/>
    <w:rsid w:val="00C95673"/>
    <w:rsid w:val="00CA3CE2"/>
    <w:rsid w:val="00CB6F68"/>
    <w:rsid w:val="00CC0822"/>
    <w:rsid w:val="00CC5E2C"/>
    <w:rsid w:val="00CE44BB"/>
    <w:rsid w:val="00D40CF5"/>
    <w:rsid w:val="00D730D7"/>
    <w:rsid w:val="00D92974"/>
    <w:rsid w:val="00DB0B24"/>
    <w:rsid w:val="00DC60C8"/>
    <w:rsid w:val="00DE1341"/>
    <w:rsid w:val="00E22101"/>
    <w:rsid w:val="00E25D8A"/>
    <w:rsid w:val="00E3463D"/>
    <w:rsid w:val="00E4066E"/>
    <w:rsid w:val="00E81918"/>
    <w:rsid w:val="00EB24C3"/>
    <w:rsid w:val="00ED65A0"/>
    <w:rsid w:val="00EE506D"/>
    <w:rsid w:val="00F02F48"/>
    <w:rsid w:val="00F06C36"/>
    <w:rsid w:val="00F11CD3"/>
    <w:rsid w:val="00F61DBC"/>
    <w:rsid w:val="00F933E1"/>
    <w:rsid w:val="00F9695A"/>
    <w:rsid w:val="00FB5A78"/>
    <w:rsid w:val="00FC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E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 Анна Игоревна</dc:creator>
  <cp:lastModifiedBy>User</cp:lastModifiedBy>
  <cp:revision>10</cp:revision>
  <cp:lastPrinted>2025-07-01T13:39:00Z</cp:lastPrinted>
  <dcterms:created xsi:type="dcterms:W3CDTF">2025-06-03T07:02:00Z</dcterms:created>
  <dcterms:modified xsi:type="dcterms:W3CDTF">2025-07-02T06:31:00Z</dcterms:modified>
</cp:coreProperties>
</file>